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72201" w14:textId="77777777" w:rsidR="00AB1010" w:rsidRPr="00B607D2" w:rsidRDefault="00000000">
      <w:pPr>
        <w:spacing w:line="360" w:lineRule="auto"/>
        <w:rPr>
          <w:rFonts w:ascii="Arial" w:eastAsia="Arial" w:hAnsi="Arial" w:cs="Arial"/>
          <w:b/>
          <w:bCs/>
          <w:sz w:val="60"/>
          <w:szCs w:val="60"/>
        </w:rPr>
      </w:pPr>
      <w:r w:rsidRPr="00B607D2">
        <w:rPr>
          <w:rFonts w:ascii="Arial" w:eastAsia="Arial" w:hAnsi="Arial" w:cs="Arial"/>
          <w:b/>
          <w:bCs/>
          <w:sz w:val="60"/>
          <w:szCs w:val="60"/>
        </w:rPr>
        <w:t>Press kit 2023-2024</w:t>
      </w:r>
    </w:p>
    <w:p w14:paraId="5E405A47" w14:textId="77777777" w:rsidR="00AB1010" w:rsidRDefault="00AB1010">
      <w:pPr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65D42E6E" w14:textId="77777777" w:rsidR="00AB1010" w:rsidRDefault="00000000">
      <w:pPr>
        <w:spacing w:line="36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 wp14:anchorId="1AAFEB1F" wp14:editId="69DBD662">
            <wp:extent cx="5579435" cy="3594100"/>
            <wp:effectExtent l="0" t="0" r="0" b="0"/>
            <wp:docPr id="5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62D98" w14:textId="77777777" w:rsidR="00AB1010" w:rsidRDefault="00AB101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400FEED2" w14:textId="77777777" w:rsidR="00AB1010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Cos’è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Namex</w:t>
      </w:r>
      <w:proofErr w:type="spellEnd"/>
    </w:p>
    <w:p w14:paraId="3E49B685" w14:textId="77777777" w:rsidR="00AB1010" w:rsidRDefault="00AB1010">
      <w:pPr>
        <w:spacing w:line="360" w:lineRule="auto"/>
        <w:rPr>
          <w:rFonts w:ascii="Arial" w:eastAsia="Arial" w:hAnsi="Arial" w:cs="Arial"/>
          <w:b/>
        </w:rPr>
      </w:pPr>
    </w:p>
    <w:p w14:paraId="2CEBEA0E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Roma IXP, è un punto di scambio e interconnessione neutrale, senza scopo di lucro, tra fornitori di servizi Internet (ISP) e fornitori di contenuti nazionali e internazionali.</w:t>
      </w:r>
    </w:p>
    <w:p w14:paraId="717ED77A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stato fondato nel 1995 come punto di accesso neutrale all'interno di un'istituzione accademica (CASPUR, oggi CINECA). Era il primo tentativo di creare un'infrastruttura in grado di ottimizzare l'interconnessione e ridurre i costi per gli Internet provider, in un mondo in cui Internet era ancora una nicchia conosciuta da pochi appassionati e ricercatori.</w:t>
      </w:r>
    </w:p>
    <w:p w14:paraId="2A1D4C99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1104500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 allora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cresciuta moltissimo e oggi conta più di 200 reti collegate, diventando uno dei principali Internet Exchange Point (IXP) italiani. Situato a Roma, Bari e Napoli,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fornisce un collegamento cruciale nell'infrastruttura digitale del Paese, facilitando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lo scambio di traffico internet tra diversi fornitori di contenuti e di accesso. Il consorzio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conta anche molti ISP locali che operano in Italia, in particolare nel Sud del Paese.</w:t>
      </w:r>
    </w:p>
    <w:p w14:paraId="2833EC6A" w14:textId="77777777" w:rsidR="00AB1010" w:rsidRDefault="00AB1010">
      <w:pPr>
        <w:spacing w:line="360" w:lineRule="auto"/>
        <w:rPr>
          <w:rFonts w:ascii="Arial" w:eastAsia="Arial" w:hAnsi="Arial" w:cs="Arial"/>
          <w:b/>
          <w:sz w:val="20"/>
          <w:szCs w:val="20"/>
        </w:rPr>
      </w:pPr>
    </w:p>
    <w:p w14:paraId="6B01690F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Lo scopo di </w:t>
      </w:r>
      <w:proofErr w:type="spellStart"/>
      <w:r>
        <w:rPr>
          <w:rFonts w:ascii="Arial" w:eastAsia="Arial" w:hAnsi="Arial" w:cs="Arial"/>
          <w:b/>
        </w:rPr>
        <w:t>Namex</w:t>
      </w:r>
      <w:proofErr w:type="spellEnd"/>
    </w:p>
    <w:p w14:paraId="30285A6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Lo scopo di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quello di fornire una piattaforma neutrale sulla quale gli operatori locali e internazionali possano beneficiare dei servizi di interconnessione forniti dal Consorzio, migliorando l'infrastruttura Internet del Sud Italia.</w:t>
      </w:r>
    </w:p>
    <w:p w14:paraId="17205E36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si è affermato come punto di presenza strategico per tutti gli ISP che operano in Italia, ed è ora un punto di riferimento per tutti gli operatori che devono fornire un servizio di alta qualità in tutto il Paese.</w:t>
      </w:r>
    </w:p>
    <w:p w14:paraId="4FCAF3B7" w14:textId="77777777" w:rsidR="00AB1010" w:rsidRDefault="00AB1010">
      <w:pPr>
        <w:spacing w:line="360" w:lineRule="auto"/>
        <w:rPr>
          <w:rFonts w:ascii="Arial" w:eastAsia="Arial" w:hAnsi="Arial" w:cs="Arial"/>
        </w:rPr>
      </w:pPr>
    </w:p>
    <w:p w14:paraId="37F492DD" w14:textId="77777777" w:rsidR="00AB1010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proofErr w:type="spellStart"/>
      <w:r>
        <w:rPr>
          <w:rFonts w:ascii="Arial" w:eastAsia="Arial" w:hAnsi="Arial" w:cs="Arial"/>
          <w:b/>
          <w:sz w:val="28"/>
          <w:szCs w:val="28"/>
        </w:rPr>
        <w:t>Namex</w:t>
      </w:r>
      <w:proofErr w:type="spellEnd"/>
      <w:r>
        <w:rPr>
          <w:rFonts w:ascii="Arial" w:eastAsia="Arial" w:hAnsi="Arial" w:cs="Arial"/>
          <w:b/>
          <w:sz w:val="28"/>
          <w:szCs w:val="28"/>
        </w:rPr>
        <w:t>, hub strategico per l’Internet Italiana e del Mediterraneo</w:t>
      </w:r>
    </w:p>
    <w:p w14:paraId="3CB30AE4" w14:textId="77777777" w:rsidR="00AB1010" w:rsidRDefault="00AB101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3BB5A82B" w14:textId="77777777" w:rsidR="00AB1010" w:rsidRDefault="0000000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31BC4A70" wp14:editId="1F80868D">
            <wp:extent cx="5579435" cy="4216400"/>
            <wp:effectExtent l="0" t="0" r="0" b="0"/>
            <wp:docPr id="6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13D35" w14:textId="77777777" w:rsidR="00AB1010" w:rsidRDefault="00AB1010">
      <w:pPr>
        <w:spacing w:line="360" w:lineRule="auto"/>
        <w:rPr>
          <w:rFonts w:ascii="Arial" w:eastAsia="Arial" w:hAnsi="Arial" w:cs="Arial"/>
          <w:b/>
          <w:sz w:val="22"/>
          <w:szCs w:val="22"/>
        </w:rPr>
      </w:pPr>
    </w:p>
    <w:p w14:paraId="2195EDF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Roma è la città più importante per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0FD65900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Nel corso del 2022, molti operatori hanno fatto importanti investimenti in città.</w:t>
      </w:r>
    </w:p>
    <w:p w14:paraId="2D2100AF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Il trend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di crescita di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della città suggerisce che Roma sta diventando un hub indispensabile e strategico, non solo per il Sud Italia, ma per l'intero Mediterraneo.</w:t>
      </w:r>
    </w:p>
    <w:p w14:paraId="66240F71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071420A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motivi:</w:t>
      </w:r>
    </w:p>
    <w:p w14:paraId="63FF20E5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D9DD1EC" w14:textId="77777777" w:rsidR="00AB1010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Quattro grandi datacenter sono in costruzione e alcuni di loro dovrebbero essere pienamente operativi entro la fine del 2023.</w:t>
      </w:r>
    </w:p>
    <w:p w14:paraId="3A8B37AE" w14:textId="77777777" w:rsidR="00AB1010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Roma approderanno due nuovi cavi sottomarini attualmente in fase di realizzazione: </w:t>
      </w:r>
      <w:proofErr w:type="spellStart"/>
      <w:r>
        <w:rPr>
          <w:rFonts w:ascii="Arial" w:eastAsia="Arial" w:hAnsi="Arial" w:cs="Arial"/>
          <w:sz w:val="22"/>
          <w:szCs w:val="22"/>
        </w:rPr>
        <w:t>Unitirreno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Unidata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e </w:t>
      </w:r>
      <w:proofErr w:type="spellStart"/>
      <w:r>
        <w:rPr>
          <w:rFonts w:ascii="Arial" w:eastAsia="Arial" w:hAnsi="Arial" w:cs="Arial"/>
          <w:sz w:val="22"/>
          <w:szCs w:val="22"/>
        </w:rPr>
        <w:t>BlueMed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Sparkle</w:t>
      </w:r>
      <w:proofErr w:type="spellEnd"/>
      <w:r>
        <w:rPr>
          <w:rFonts w:ascii="Arial" w:eastAsia="Arial" w:hAnsi="Arial" w:cs="Arial"/>
          <w:sz w:val="22"/>
          <w:szCs w:val="22"/>
        </w:rPr>
        <w:t>).</w:t>
      </w:r>
    </w:p>
    <w:p w14:paraId="09E3EC1A" w14:textId="77777777" w:rsidR="00AB1010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Le più recenti tensioni geopolitiche hanno riproposto la questione della diversificazione delle rotte e delle stazioni di approdo per queste infrastrutture critiche e Roma, assieme a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Bari,si</w:t>
      </w:r>
      <w:proofErr w:type="spellEnd"/>
      <w:proofErr w:type="gramEnd"/>
      <w:r>
        <w:rPr>
          <w:rFonts w:ascii="Arial" w:eastAsia="Arial" w:hAnsi="Arial" w:cs="Arial"/>
          <w:sz w:val="22"/>
          <w:szCs w:val="22"/>
        </w:rPr>
        <w:t xml:space="preserve"> candida per diventare strategica in questo contesto.</w:t>
      </w:r>
    </w:p>
    <w:p w14:paraId="07E5456A" w14:textId="77777777" w:rsidR="00AB1010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Alcune rotte sono state rafforzate con nuovi cavi dai Balcani all'Italia (ad esempio Trans </w:t>
      </w:r>
      <w:proofErr w:type="spellStart"/>
      <w:r>
        <w:rPr>
          <w:rFonts w:ascii="Arial" w:eastAsia="Arial" w:hAnsi="Arial" w:cs="Arial"/>
          <w:sz w:val="22"/>
          <w:szCs w:val="22"/>
        </w:rPr>
        <w:t>Adriatic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Express e </w:t>
      </w:r>
      <w:proofErr w:type="spellStart"/>
      <w:r>
        <w:rPr>
          <w:rFonts w:ascii="Arial" w:eastAsia="Arial" w:hAnsi="Arial" w:cs="Arial"/>
          <w:sz w:val="22"/>
          <w:szCs w:val="22"/>
        </w:rPr>
        <w:t>Islalink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Ionian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e ne è stato annunciato uno nuovo (Medusa) che collegherà da est a ovest </w:t>
      </w:r>
      <w:proofErr w:type="gramStart"/>
      <w:r>
        <w:rPr>
          <w:rFonts w:ascii="Arial" w:eastAsia="Arial" w:hAnsi="Arial" w:cs="Arial"/>
          <w:sz w:val="22"/>
          <w:szCs w:val="22"/>
        </w:rPr>
        <w:t>il paesi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del bacino del Mediterraneo tra </w:t>
      </w:r>
      <w:proofErr w:type="spellStart"/>
      <w:r>
        <w:rPr>
          <w:rFonts w:ascii="Arial" w:eastAsia="Arial" w:hAnsi="Arial" w:cs="Arial"/>
          <w:sz w:val="22"/>
          <w:szCs w:val="22"/>
        </w:rPr>
        <w:t>ciu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l’Italia. </w:t>
      </w:r>
    </w:p>
    <w:p w14:paraId="01A4AE2E" w14:textId="77777777" w:rsidR="00AB1010" w:rsidRDefault="00000000">
      <w:pPr>
        <w:numPr>
          <w:ilvl w:val="0"/>
          <w:numId w:val="3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traffico europeo avrà l'opportunità di spostarsi più a sud e le nuove rotte da est a ovest potranno offrire nuove opportunità all'Italia e a Roma. Il cavo 2Africa può rafforzare lo status dell'Italia come importante gateway europeo per il traffico africano.</w:t>
      </w:r>
    </w:p>
    <w:p w14:paraId="25BAD6CE" w14:textId="77777777" w:rsidR="00AB1010" w:rsidRDefault="00AB1010">
      <w:pPr>
        <w:spacing w:line="360" w:lineRule="auto"/>
        <w:rPr>
          <w:rFonts w:ascii="Arial" w:eastAsia="Arial" w:hAnsi="Arial" w:cs="Arial"/>
          <w:b/>
        </w:rPr>
      </w:pPr>
    </w:p>
    <w:p w14:paraId="0BCF6A3E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Namex</w:t>
      </w:r>
      <w:proofErr w:type="spellEnd"/>
      <w:r>
        <w:rPr>
          <w:rFonts w:ascii="Arial" w:eastAsia="Arial" w:hAnsi="Arial" w:cs="Arial"/>
          <w:b/>
        </w:rPr>
        <w:t xml:space="preserve"> IXP Edge</w:t>
      </w:r>
    </w:p>
    <w:p w14:paraId="327A0601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Oltre all’importanza come hub nel Mediterraneo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 anche un ruolo come IXP di prossimità, anche detti IXP Edge. </w:t>
      </w:r>
    </w:p>
    <w:p w14:paraId="0E45318A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Negli ultimi anni l'interconnessione di Internet si sta spostando sempre di più verso la periferia.</w:t>
      </w:r>
    </w:p>
    <w:p w14:paraId="0F8A3CD0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È per questo che nel 2022 abbiamo deciso di aprire un IXP Edge a Bari,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Bari e quest’anno abbiamo raddoppiato aprendo un altro IXP Edge a Napoli.</w:t>
      </w:r>
    </w:p>
    <w:p w14:paraId="454B9FD6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CD75CCD" w14:textId="77777777" w:rsidR="00B607D2" w:rsidRDefault="00B607D2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</w:p>
    <w:p w14:paraId="013FB3A5" w14:textId="2589A6F9" w:rsidR="00AB1010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lastRenderedPageBreak/>
        <w:t xml:space="preserve">La community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Namex</w:t>
      </w:r>
      <w:proofErr w:type="spellEnd"/>
    </w:p>
    <w:p w14:paraId="03DB631D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275FC6C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consorzio no profit, che ha come obiettivo quello di essere una risorsa per tutti gli ISP operanti in Italia. </w:t>
      </w:r>
    </w:p>
    <w:p w14:paraId="536172A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quanto consorzio,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"</w:t>
      </w:r>
      <w:proofErr w:type="spellStart"/>
      <w:r>
        <w:rPr>
          <w:rFonts w:ascii="Arial" w:eastAsia="Arial" w:hAnsi="Arial" w:cs="Arial"/>
          <w:sz w:val="22"/>
          <w:szCs w:val="22"/>
        </w:rPr>
        <w:t>member-based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"; la sua governance è elettiva e ogni operatore afferente al consorzio ha diritto di voto sulle politiche adottate. </w:t>
      </w:r>
    </w:p>
    <w:p w14:paraId="5C77C90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Ogni azienda consorziata ha la stessa percentuale di proprietà a prescindere dalle sue dimensioni.</w:t>
      </w:r>
    </w:p>
    <w:p w14:paraId="7A67566C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 come scopo primario di fornire servizi di interconnessione di qualità ai suoi consorziate ed al miglior prezzo possibile</w:t>
      </w:r>
    </w:p>
    <w:p w14:paraId="696B615F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7836854" w14:textId="77777777" w:rsidR="00AB1010" w:rsidRDefault="00000000">
      <w:pPr>
        <w:keepNext/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20B69D3A" wp14:editId="18BA70EC">
            <wp:extent cx="5579435" cy="3064352"/>
            <wp:effectExtent l="0" t="0" r="0" b="0"/>
            <wp:docPr id="57" name="image3.jpg">
              <a:extLst xmlns:a="http://schemas.openxmlformats.org/drawingml/2006/main">
                <a:ext uri="http://customooxmlschemas.google.com/">
                  <go:docsCustomData xmlns:go="http://customooxmlschemas.google.com/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sl="http://schemas.openxmlformats.org/schemaLibrary/2006/main" xmlns:w="http://schemas.openxmlformats.org/wordprocessingml/2006/main" xmlns:w10="urn:schemas-microsoft-com:office:word" xmlns:v="urn:schemas-microsoft-com:vml" xmlns:o="urn:schemas-microsoft-com:office:office" xmlns="" roundtripId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3064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465127" w14:textId="77777777" w:rsidR="00AB1010" w:rsidRPr="00BE3137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i/>
          <w:iCs/>
          <w:sz w:val="22"/>
          <w:szCs w:val="22"/>
        </w:rPr>
      </w:pPr>
      <w:r w:rsidRPr="00BE3137">
        <w:rPr>
          <w:rFonts w:ascii="Arial" w:eastAsia="Arial" w:hAnsi="Arial" w:cs="Arial"/>
          <w:i/>
          <w:iCs/>
          <w:sz w:val="22"/>
          <w:szCs w:val="22"/>
        </w:rPr>
        <w:t xml:space="preserve">ISP connessi a </w:t>
      </w:r>
      <w:proofErr w:type="spellStart"/>
      <w:r w:rsidRPr="00BE3137">
        <w:rPr>
          <w:rFonts w:ascii="Arial" w:eastAsia="Arial" w:hAnsi="Arial" w:cs="Arial"/>
          <w:i/>
          <w:iCs/>
          <w:sz w:val="22"/>
          <w:szCs w:val="22"/>
        </w:rPr>
        <w:t>Namex</w:t>
      </w:r>
      <w:proofErr w:type="spellEnd"/>
      <w:r w:rsidRPr="00BE3137">
        <w:rPr>
          <w:rFonts w:ascii="Arial" w:eastAsia="Arial" w:hAnsi="Arial" w:cs="Arial"/>
          <w:i/>
          <w:iCs/>
          <w:sz w:val="22"/>
          <w:szCs w:val="22"/>
        </w:rPr>
        <w:t xml:space="preserve"> negli ultimi </w:t>
      </w:r>
      <w:proofErr w:type="gramStart"/>
      <w:r w:rsidRPr="00BE3137">
        <w:rPr>
          <w:rFonts w:ascii="Arial" w:eastAsia="Arial" w:hAnsi="Arial" w:cs="Arial"/>
          <w:i/>
          <w:iCs/>
          <w:sz w:val="22"/>
          <w:szCs w:val="22"/>
        </w:rPr>
        <w:t>10</w:t>
      </w:r>
      <w:proofErr w:type="gramEnd"/>
      <w:r w:rsidRPr="00BE3137">
        <w:rPr>
          <w:rFonts w:ascii="Arial" w:eastAsia="Arial" w:hAnsi="Arial" w:cs="Arial"/>
          <w:i/>
          <w:iCs/>
          <w:sz w:val="22"/>
          <w:szCs w:val="22"/>
        </w:rPr>
        <w:t xml:space="preserve"> anni</w:t>
      </w:r>
    </w:p>
    <w:p w14:paraId="0FA441ED" w14:textId="77777777" w:rsidR="00AB1010" w:rsidRDefault="00AB1010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sz w:val="22"/>
          <w:szCs w:val="22"/>
        </w:rPr>
      </w:pPr>
    </w:p>
    <w:p w14:paraId="2B81E522" w14:textId="77777777" w:rsidR="00AB1010" w:rsidRDefault="00AB1010">
      <w:pPr>
        <w:spacing w:line="360" w:lineRule="auto"/>
        <w:rPr>
          <w:rFonts w:ascii="Arial" w:eastAsia="Arial" w:hAnsi="Arial" w:cs="Arial"/>
          <w:b/>
        </w:rPr>
      </w:pPr>
    </w:p>
    <w:p w14:paraId="3140207F" w14:textId="77777777" w:rsidR="00AB1010" w:rsidRDefault="00AB1010">
      <w:pPr>
        <w:spacing w:line="360" w:lineRule="auto"/>
        <w:rPr>
          <w:rFonts w:ascii="Arial" w:eastAsia="Arial" w:hAnsi="Arial" w:cs="Arial"/>
          <w:b/>
        </w:rPr>
      </w:pPr>
    </w:p>
    <w:p w14:paraId="084007CA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55632590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6E282946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26DB3720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0FD37749" w14:textId="03C13BE8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Il nostro evento annuale</w:t>
      </w:r>
    </w:p>
    <w:p w14:paraId="2723DAB2" w14:textId="77777777" w:rsidR="00B607D2" w:rsidRP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3E93EC42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438ABFB6" wp14:editId="3CE988E0">
            <wp:extent cx="5575935" cy="3718560"/>
            <wp:effectExtent l="0" t="0" r="0" b="0"/>
            <wp:docPr id="5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718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B776B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D384279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Annual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Meeting (NAM) è un punto d'incontro centrale per i professionisti della community delle telecomunicazioni. Da quando è stato lanciato nel 2004, il NAM ha costantemente ampliato la sua portata, diventando il più grande evento ISP nel Centro e Sud Italia, con la partecipazione di 500 persone e 200 aziende e ospiti di rilievo a livello nazionale ed internazionale.</w:t>
      </w:r>
    </w:p>
    <w:p w14:paraId="125ADE32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NAM offre un'opportunità unica per incontrare i protagonisti chiave del settore del mondo telco, tra cui ISP, IXP, fornitori di cloud e servizi. La diversificata partecipazione aziendale spazia dai piccoli operatori locali ai giganti del settore over-the-top (OTT).</w:t>
      </w:r>
    </w:p>
    <w:p w14:paraId="430AED85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L'evento è strutturato in modo da offrire una sessione plenaria mattutina, incontri </w:t>
      </w:r>
      <w:proofErr w:type="spellStart"/>
      <w:r>
        <w:rPr>
          <w:rFonts w:ascii="Arial" w:eastAsia="Arial" w:hAnsi="Arial" w:cs="Arial"/>
          <w:sz w:val="22"/>
          <w:szCs w:val="22"/>
        </w:rPr>
        <w:t>one-to-one</w:t>
      </w:r>
      <w:proofErr w:type="spellEnd"/>
      <w:r>
        <w:rPr>
          <w:rFonts w:ascii="Arial" w:eastAsia="Arial" w:hAnsi="Arial" w:cs="Arial"/>
          <w:sz w:val="22"/>
          <w:szCs w:val="22"/>
        </w:rPr>
        <w:t>, workshop e spazi espositivi.</w:t>
      </w:r>
    </w:p>
    <w:p w14:paraId="1546DA7D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sessione plenaria ospita </w:t>
      </w:r>
      <w:proofErr w:type="spellStart"/>
      <w:r>
        <w:rPr>
          <w:rFonts w:ascii="Arial" w:eastAsia="Arial" w:hAnsi="Arial" w:cs="Arial"/>
          <w:sz w:val="22"/>
          <w:szCs w:val="22"/>
        </w:rPr>
        <w:t>keynote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panel con relatori di alto livello che affrontano le principali tematiche del settore. </w:t>
      </w:r>
    </w:p>
    <w:p w14:paraId="5A38B8B6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Nel pomeriggio, si svolgono le sessioni </w:t>
      </w:r>
      <w:proofErr w:type="spellStart"/>
      <w:r>
        <w:rPr>
          <w:rFonts w:ascii="Arial" w:eastAsia="Arial" w:hAnsi="Arial" w:cs="Arial"/>
          <w:sz w:val="22"/>
          <w:szCs w:val="22"/>
        </w:rPr>
        <w:t>one-to-one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fondamentali per stabilire relazioni solide, facilitando l'interazione diretta con i principali attori del settore e con le persone di interesse. 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lastRenderedPageBreak/>
        <w:t xml:space="preserve">Durante lo stesso intervallo temporale degli incontri </w:t>
      </w:r>
      <w:proofErr w:type="spellStart"/>
      <w:r>
        <w:rPr>
          <w:rFonts w:ascii="Arial" w:eastAsia="Arial" w:hAnsi="Arial" w:cs="Arial"/>
          <w:sz w:val="22"/>
          <w:szCs w:val="22"/>
        </w:rPr>
        <w:t>one-to-one</w:t>
      </w:r>
      <w:proofErr w:type="spellEnd"/>
      <w:r>
        <w:rPr>
          <w:rFonts w:ascii="Arial" w:eastAsia="Arial" w:hAnsi="Arial" w:cs="Arial"/>
          <w:sz w:val="22"/>
          <w:szCs w:val="22"/>
        </w:rPr>
        <w:t>, si organizzano workshop tecnici che riscuotono sempre un ampio interesse.</w:t>
      </w:r>
    </w:p>
    <w:p w14:paraId="4D130D0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Per gli sponsor, il NAM 2023 offre una gamma completa di spazi pubblicitari, tra cui visibilità online, stand espositivi, materiale promozionale stampato e opportunità di pubblicità durante le trasmissioni in diretta.</w:t>
      </w:r>
    </w:p>
    <w:p w14:paraId="6EE6FF55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2EDE5884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Link alle ultime edizioni:</w:t>
      </w:r>
    </w:p>
    <w:p w14:paraId="22F68484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hyperlink r:id="rId12">
        <w:r>
          <w:rPr>
            <w:rFonts w:ascii="Arial" w:eastAsia="Arial" w:hAnsi="Arial" w:cs="Arial"/>
            <w:sz w:val="22"/>
            <w:szCs w:val="22"/>
          </w:rPr>
          <w:t>https://n</w:t>
        </w:r>
        <w:r>
          <w:rPr>
            <w:rFonts w:ascii="Arial" w:eastAsia="Arial" w:hAnsi="Arial" w:cs="Arial"/>
            <w:sz w:val="22"/>
            <w:szCs w:val="22"/>
          </w:rPr>
          <w:t>a</w:t>
        </w:r>
        <w:r>
          <w:rPr>
            <w:rFonts w:ascii="Arial" w:eastAsia="Arial" w:hAnsi="Arial" w:cs="Arial"/>
            <w:sz w:val="22"/>
            <w:szCs w:val="22"/>
          </w:rPr>
          <w:t>m2023.namex.it/</w:t>
        </w:r>
      </w:hyperlink>
    </w:p>
    <w:p w14:paraId="66467725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hyperlink r:id="rId13">
        <w:r>
          <w:rPr>
            <w:rFonts w:ascii="Arial" w:eastAsia="Arial" w:hAnsi="Arial" w:cs="Arial"/>
            <w:sz w:val="22"/>
            <w:szCs w:val="22"/>
          </w:rPr>
          <w:t>https://nam2022.namex.it/</w:t>
        </w:r>
      </w:hyperlink>
    </w:p>
    <w:p w14:paraId="3855B350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hyperlink r:id="rId14">
        <w:r>
          <w:rPr>
            <w:rFonts w:ascii="Arial" w:eastAsia="Arial" w:hAnsi="Arial" w:cs="Arial"/>
            <w:sz w:val="22"/>
            <w:szCs w:val="22"/>
          </w:rPr>
          <w:t>https://nam2021.namex.it/</w:t>
        </w:r>
      </w:hyperlink>
    </w:p>
    <w:p w14:paraId="4ACCDAFB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hyperlink r:id="rId15">
        <w:r>
          <w:rPr>
            <w:rFonts w:ascii="Arial" w:eastAsia="Arial" w:hAnsi="Arial" w:cs="Arial"/>
            <w:sz w:val="22"/>
            <w:szCs w:val="22"/>
          </w:rPr>
          <w:t>https://nam2020.namex.it/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E1FF497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AF73D6B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9FBEF50" w14:textId="77777777" w:rsidR="00AB1010" w:rsidRDefault="00000000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L’infrastruttura </w:t>
      </w:r>
      <w:proofErr w:type="spellStart"/>
      <w:r>
        <w:rPr>
          <w:rFonts w:ascii="Arial" w:eastAsia="Arial" w:hAnsi="Arial" w:cs="Arial"/>
          <w:b/>
          <w:sz w:val="28"/>
          <w:szCs w:val="28"/>
        </w:rPr>
        <w:t>Namex</w:t>
      </w:r>
      <w:proofErr w:type="spellEnd"/>
      <w:r>
        <w:rPr>
          <w:rFonts w:ascii="Arial" w:eastAsia="Arial" w:hAnsi="Arial" w:cs="Arial"/>
          <w:b/>
          <w:sz w:val="28"/>
          <w:szCs w:val="28"/>
        </w:rPr>
        <w:t xml:space="preserve">: un approfondimento </w:t>
      </w:r>
    </w:p>
    <w:p w14:paraId="6118A7CD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Datacenter di Roma</w:t>
      </w:r>
    </w:p>
    <w:p w14:paraId="09EA5837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E46E94E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634D875" wp14:editId="1460ED9A">
            <wp:extent cx="5575935" cy="3214100"/>
            <wp:effectExtent l="0" t="0" r="0" b="0"/>
            <wp:docPr id="5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6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21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713F70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09B66F4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è oggi presente in quattro datacenter nella capitale, con un quinto punto di presenza già annunciato all’interno dell’</w:t>
      </w:r>
      <w:proofErr w:type="spellStart"/>
      <w:r>
        <w:rPr>
          <w:rFonts w:ascii="Arial" w:eastAsia="Arial" w:hAnsi="Arial" w:cs="Arial"/>
          <w:sz w:val="22"/>
          <w:szCs w:val="22"/>
        </w:rPr>
        <w:t>Hypercloud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datacenter di Aruba. La presenza diversificata nei datacenter cittadini consente a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di fornire un servizio di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interconnessione distribuito, unito a servizi aggiuntivi richiesti soprattutto da grandi player nazionali e internazionali, come i servizi di </w:t>
      </w:r>
      <w:proofErr w:type="spellStart"/>
      <w:r>
        <w:rPr>
          <w:rFonts w:ascii="Arial" w:eastAsia="Arial" w:hAnsi="Arial" w:cs="Arial"/>
          <w:sz w:val="22"/>
          <w:szCs w:val="22"/>
        </w:rPr>
        <w:t>colocation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degli apparati. </w:t>
      </w:r>
    </w:p>
    <w:p w14:paraId="14C9927C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4055705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Caesar DC (</w:t>
      </w:r>
      <w:proofErr w:type="spellStart"/>
      <w:r>
        <w:rPr>
          <w:rFonts w:ascii="Arial" w:eastAsia="Arial" w:hAnsi="Arial" w:cs="Arial"/>
          <w:b/>
        </w:rPr>
        <w:t>Cineca</w:t>
      </w:r>
      <w:proofErr w:type="spellEnd"/>
      <w:r>
        <w:rPr>
          <w:rFonts w:ascii="Arial" w:eastAsia="Arial" w:hAnsi="Arial" w:cs="Arial"/>
          <w:b/>
        </w:rPr>
        <w:t>)</w:t>
      </w:r>
    </w:p>
    <w:p w14:paraId="2BE82898" w14:textId="77777777" w:rsidR="00AB1010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0,6 MW IT</w:t>
      </w:r>
    </w:p>
    <w:p w14:paraId="046A1787" w14:textId="77777777" w:rsidR="00AB1010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670 mq</w:t>
      </w:r>
    </w:p>
    <w:p w14:paraId="75155461" w14:textId="77777777" w:rsidR="00AB1010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+180 racks</w:t>
      </w:r>
    </w:p>
    <w:p w14:paraId="4E53123C" w14:textId="77777777" w:rsidR="00AB1010" w:rsidRDefault="00000000">
      <w:pPr>
        <w:numPr>
          <w:ilvl w:val="0"/>
          <w:numId w:val="1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+1000 interconnessioni</w:t>
      </w:r>
    </w:p>
    <w:p w14:paraId="63EF7185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Augustus DC (</w:t>
      </w:r>
      <w:proofErr w:type="spellStart"/>
      <w:r>
        <w:rPr>
          <w:rFonts w:ascii="Arial" w:eastAsia="Arial" w:hAnsi="Arial" w:cs="Arial"/>
          <w:b/>
        </w:rPr>
        <w:t>Unidata</w:t>
      </w:r>
      <w:proofErr w:type="spellEnd"/>
      <w:r>
        <w:rPr>
          <w:rFonts w:ascii="Arial" w:eastAsia="Arial" w:hAnsi="Arial" w:cs="Arial"/>
          <w:b/>
        </w:rPr>
        <w:t>)</w:t>
      </w:r>
    </w:p>
    <w:p w14:paraId="73E2E077" w14:textId="77777777" w:rsidR="00AB1010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0,4 MW IT</w:t>
      </w:r>
    </w:p>
    <w:p w14:paraId="61CA3DAC" w14:textId="77777777" w:rsidR="00AB1010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300 mq</w:t>
      </w:r>
    </w:p>
    <w:p w14:paraId="26ACE6D9" w14:textId="77777777" w:rsidR="00AB1010" w:rsidRDefault="00000000">
      <w:pPr>
        <w:numPr>
          <w:ilvl w:val="0"/>
          <w:numId w:val="5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100% fonti di energia rinnovabili</w:t>
      </w:r>
    </w:p>
    <w:p w14:paraId="5220D3DE" w14:textId="77777777" w:rsidR="00AB1010" w:rsidRDefault="00000000">
      <w:pPr>
        <w:spacing w:line="360" w:lineRule="auto"/>
        <w:rPr>
          <w:rFonts w:ascii="Arial" w:eastAsia="Arial" w:hAnsi="Arial" w:cs="Arial"/>
          <w:b/>
          <w:sz w:val="26"/>
          <w:szCs w:val="26"/>
        </w:rPr>
      </w:pPr>
      <w:proofErr w:type="spellStart"/>
      <w:r>
        <w:rPr>
          <w:rFonts w:ascii="Arial" w:eastAsia="Arial" w:hAnsi="Arial" w:cs="Arial"/>
          <w:b/>
        </w:rPr>
        <w:t>Tiberius</w:t>
      </w:r>
      <w:proofErr w:type="spellEnd"/>
      <w:r>
        <w:rPr>
          <w:rFonts w:ascii="Arial" w:eastAsia="Arial" w:hAnsi="Arial" w:cs="Arial"/>
          <w:b/>
        </w:rPr>
        <w:t xml:space="preserve"> DC (Digital Realty)</w:t>
      </w:r>
    </w:p>
    <w:p w14:paraId="506CDEF6" w14:textId="77777777" w:rsidR="00AB1010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1660 mq</w:t>
      </w:r>
      <w:r>
        <w:rPr>
          <w:rFonts w:ascii="Arial" w:eastAsia="Arial" w:hAnsi="Arial" w:cs="Arial"/>
          <w:sz w:val="22"/>
          <w:szCs w:val="22"/>
          <w:vertAlign w:val="superscript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coperti + 1032 mq area esterna</w:t>
      </w:r>
    </w:p>
    <w:p w14:paraId="7BB2721C" w14:textId="77777777" w:rsidR="00AB1010" w:rsidRDefault="00000000">
      <w:pPr>
        <w:numPr>
          <w:ilvl w:val="0"/>
          <w:numId w:val="2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1,6 MW </w:t>
      </w:r>
    </w:p>
    <w:p w14:paraId="07D087D9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Claudius</w:t>
      </w:r>
      <w:proofErr w:type="spellEnd"/>
      <w:r>
        <w:rPr>
          <w:rFonts w:ascii="Arial" w:eastAsia="Arial" w:hAnsi="Arial" w:cs="Arial"/>
          <w:b/>
        </w:rPr>
        <w:t xml:space="preserve"> DC (</w:t>
      </w:r>
      <w:proofErr w:type="spellStart"/>
      <w:r>
        <w:rPr>
          <w:rFonts w:ascii="Arial" w:eastAsia="Arial" w:hAnsi="Arial" w:cs="Arial"/>
          <w:b/>
        </w:rPr>
        <w:t>CloudEurope</w:t>
      </w:r>
      <w:proofErr w:type="spellEnd"/>
      <w:r>
        <w:rPr>
          <w:rFonts w:ascii="Arial" w:eastAsia="Arial" w:hAnsi="Arial" w:cs="Arial"/>
          <w:b/>
        </w:rPr>
        <w:t>)</w:t>
      </w:r>
    </w:p>
    <w:p w14:paraId="65F8440E" w14:textId="77777777" w:rsidR="00AB1010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8.000 mq IT</w:t>
      </w:r>
    </w:p>
    <w:p w14:paraId="0057BE15" w14:textId="77777777" w:rsidR="00AB1010" w:rsidRDefault="00000000">
      <w:pPr>
        <w:numPr>
          <w:ilvl w:val="0"/>
          <w:numId w:val="4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 MW IT</w:t>
      </w:r>
    </w:p>
    <w:p w14:paraId="4123DBCF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7B4662D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 questi datacenter se ne stanno aggiungendo altri con delle dimensioni e delle potenze in gioco maggiori di quelli esistenti e che permetteranno a Roma di ospitare le nuove, crescenti, esigenze dei grandi player mondiali. </w:t>
      </w:r>
    </w:p>
    <w:p w14:paraId="7EC08344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Questo contribuirà a </w:t>
      </w:r>
      <w:proofErr w:type="spellStart"/>
      <w:r>
        <w:rPr>
          <w:rFonts w:ascii="Arial" w:eastAsia="Arial" w:hAnsi="Arial" w:cs="Arial"/>
          <w:sz w:val="22"/>
          <w:szCs w:val="22"/>
        </w:rPr>
        <w:t>rendendere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l’hub di Roma ancora più importante a livello internazionale</w:t>
      </w:r>
    </w:p>
    <w:p w14:paraId="3A78CD60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primo di questi sarà Aruba con il suo Aruba </w:t>
      </w:r>
      <w:proofErr w:type="spellStart"/>
      <w:r>
        <w:rPr>
          <w:rFonts w:ascii="Arial" w:eastAsia="Arial" w:hAnsi="Arial" w:cs="Arial"/>
          <w:sz w:val="22"/>
          <w:szCs w:val="22"/>
        </w:rPr>
        <w:t>Hypercloud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che a </w:t>
      </w:r>
      <w:proofErr w:type="gramStart"/>
      <w:r>
        <w:rPr>
          <w:rFonts w:ascii="Arial" w:eastAsia="Arial" w:hAnsi="Arial" w:cs="Arial"/>
          <w:sz w:val="22"/>
          <w:szCs w:val="22"/>
        </w:rPr>
        <w:t>Novembre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2023 inizierà ad erogare i primi servizi.</w:t>
      </w:r>
    </w:p>
    <w:p w14:paraId="476BB783" w14:textId="77777777" w:rsidR="00AB1010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Hadrianus</w:t>
      </w:r>
      <w:proofErr w:type="spellEnd"/>
      <w:r>
        <w:rPr>
          <w:rFonts w:ascii="Arial" w:eastAsia="Arial" w:hAnsi="Arial" w:cs="Arial"/>
          <w:b/>
        </w:rPr>
        <w:t xml:space="preserve"> DC (Aruba </w:t>
      </w:r>
      <w:proofErr w:type="spellStart"/>
      <w:r>
        <w:rPr>
          <w:rFonts w:ascii="Arial" w:eastAsia="Arial" w:hAnsi="Arial" w:cs="Arial"/>
          <w:b/>
        </w:rPr>
        <w:t>Hypercloud</w:t>
      </w:r>
      <w:proofErr w:type="spellEnd"/>
      <w:r>
        <w:rPr>
          <w:rFonts w:ascii="Arial" w:eastAsia="Arial" w:hAnsi="Arial" w:cs="Arial"/>
          <w:b/>
        </w:rPr>
        <w:t>)</w:t>
      </w:r>
    </w:p>
    <w:p w14:paraId="0A6BFC0D" w14:textId="77777777" w:rsidR="00AB1010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Campus Area: 74.000 m</w:t>
      </w:r>
      <w:r>
        <w:rPr>
          <w:rFonts w:ascii="Arial" w:eastAsia="Arial" w:hAnsi="Arial" w:cs="Arial"/>
          <w:sz w:val="22"/>
          <w:szCs w:val="22"/>
          <w:vertAlign w:val="superscript"/>
        </w:rPr>
        <w:t>2</w:t>
      </w:r>
    </w:p>
    <w:p w14:paraId="6BB141EE" w14:textId="77777777" w:rsidR="00AB1010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15.000 mq IT</w:t>
      </w:r>
    </w:p>
    <w:p w14:paraId="0A3B450B" w14:textId="77777777" w:rsidR="00AB1010" w:rsidRDefault="00000000">
      <w:pPr>
        <w:numPr>
          <w:ilvl w:val="0"/>
          <w:numId w:val="6"/>
        </w:num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30 MW IT</w:t>
      </w:r>
    </w:p>
    <w:p w14:paraId="1ED47AF5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87DD92D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11E404E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586EFFA9" w14:textId="69991742" w:rsidR="00AB1010" w:rsidRPr="00B607D2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lastRenderedPageBreak/>
        <w:t>Namex</w:t>
      </w:r>
      <w:proofErr w:type="spellEnd"/>
      <w:r>
        <w:rPr>
          <w:rFonts w:ascii="Arial" w:eastAsia="Arial" w:hAnsi="Arial" w:cs="Arial"/>
          <w:b/>
        </w:rPr>
        <w:t xml:space="preserve"> Bari</w:t>
      </w:r>
    </w:p>
    <w:p w14:paraId="3552E271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587F267" wp14:editId="2B6B41DF">
            <wp:extent cx="5575935" cy="2097405"/>
            <wp:effectExtent l="0" t="0" r="0" b="0"/>
            <wp:docPr id="6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2097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5E00B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D30DB6B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CCAC36E" wp14:editId="19B82E60">
            <wp:extent cx="5579435" cy="3111500"/>
            <wp:effectExtent l="0" t="0" r="0" b="0"/>
            <wp:docPr id="6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E4E0C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AE4E25A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9CC4ED2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Bari è il primo IXP "</w:t>
      </w:r>
      <w:proofErr w:type="spellStart"/>
      <w:r>
        <w:rPr>
          <w:rFonts w:ascii="Arial" w:eastAsia="Arial" w:hAnsi="Arial" w:cs="Arial"/>
          <w:sz w:val="22"/>
          <w:szCs w:val="22"/>
        </w:rPr>
        <w:t>edge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" creato da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nella regione italiana più orientale, caratterizzata da numerosi ISP locali, carrier nazionali e stazioni di approdo per cavi sottomarini.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gestisce il suo DC neutrale nella città di Bari. Quest'anno le attività si sono concentrate maggiormente sul datacenter, con particolare attenzione alla messa in funzione dei sistemi di base e alla relativa manutenzione.</w:t>
      </w:r>
    </w:p>
    <w:p w14:paraId="7DF883A2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È anche stato installato e parzialmente completato un sistema di supervisione per il monitoraggio del DC stesso. Il sistema di rilevamento degli incendi e il sistema di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rilevamento delle intrusioni sono in fase di completamento. Nel 2022 sono stati installati 9 rack con un totale di 12 reti collegate, con Microsoft e Netflix che hanno completato le loro installazioni nei primi mesi del 2023: - </w:t>
      </w:r>
      <w:proofErr w:type="spellStart"/>
      <w:r>
        <w:rPr>
          <w:rFonts w:ascii="Arial" w:eastAsia="Arial" w:hAnsi="Arial" w:cs="Arial"/>
          <w:sz w:val="22"/>
          <w:szCs w:val="22"/>
        </w:rPr>
        <w:t>Unidata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eastAsia="Arial" w:hAnsi="Arial" w:cs="Arial"/>
          <w:sz w:val="22"/>
          <w:szCs w:val="22"/>
        </w:rPr>
        <w:t>Fiber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Telecom - Convergenze - Intendo - Fastweb - Meta - </w:t>
      </w:r>
      <w:proofErr w:type="spellStart"/>
      <w:r>
        <w:rPr>
          <w:rFonts w:ascii="Arial" w:eastAsia="Arial" w:hAnsi="Arial" w:cs="Arial"/>
          <w:sz w:val="22"/>
          <w:szCs w:val="22"/>
        </w:rPr>
        <w:t>Openfiber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- TIM – WINDTRE - EXA - Hurricane Electric.</w:t>
      </w:r>
    </w:p>
    <w:p w14:paraId="41DEEAA4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Al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Bari sono già presenti tre </w:t>
      </w:r>
      <w:proofErr w:type="spellStart"/>
      <w:r>
        <w:rPr>
          <w:rFonts w:ascii="Arial" w:eastAsia="Arial" w:hAnsi="Arial" w:cs="Arial"/>
          <w:sz w:val="22"/>
          <w:szCs w:val="22"/>
        </w:rPr>
        <w:t>content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provider con cache regionali: - Meta - Microsoft - Netflix.</w:t>
      </w:r>
    </w:p>
    <w:p w14:paraId="1FDC7B1C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3AAB525A" w14:textId="77777777" w:rsidR="00B607D2" w:rsidRDefault="00B607D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838E053" w14:textId="59831A8A" w:rsidR="00AB1010" w:rsidRDefault="00000000">
      <w:pPr>
        <w:spacing w:line="360" w:lineRule="auto"/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Namex</w:t>
      </w:r>
      <w:proofErr w:type="spellEnd"/>
      <w:r>
        <w:rPr>
          <w:rFonts w:ascii="Arial" w:eastAsia="Arial" w:hAnsi="Arial" w:cs="Arial"/>
          <w:b/>
        </w:rPr>
        <w:t xml:space="preserve"> Napoli</w:t>
      </w:r>
    </w:p>
    <w:p w14:paraId="159E03CA" w14:textId="77777777" w:rsidR="00B607D2" w:rsidRP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09028F9F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9D7E36E" wp14:editId="7A3CC288">
            <wp:extent cx="5579435" cy="4165600"/>
            <wp:effectExtent l="0" t="0" r="0" b="0"/>
            <wp:docPr id="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5615CB" w14:textId="77777777" w:rsidR="00B607D2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114300" distB="114300" distL="114300" distR="114300" wp14:anchorId="07FFD7DE" wp14:editId="7D0907E2">
            <wp:extent cx="5579435" cy="2971800"/>
            <wp:effectExtent l="0" t="0" r="0" b="0"/>
            <wp:docPr id="5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69A989" w14:textId="77777777" w:rsidR="00B607D2" w:rsidRDefault="00B607D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41CE565" w14:textId="268F02C3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Napoli è la città italiana con la più alta densità di popolazione del nostro Paese. Questa caratteristica si accompagna a un numero piuttosto elevato di ISP locali che forniscono servizi alla popolazione e alle aziende della regione.</w:t>
      </w:r>
    </w:p>
    <w:p w14:paraId="23992763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Napoli è la città più grande del Sud Italia. Queste ragioni hanno convinto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ad aprire il suo secondo IXP "</w:t>
      </w:r>
      <w:proofErr w:type="spellStart"/>
      <w:r>
        <w:rPr>
          <w:rFonts w:ascii="Arial" w:eastAsia="Arial" w:hAnsi="Arial" w:cs="Arial"/>
          <w:sz w:val="22"/>
          <w:szCs w:val="22"/>
        </w:rPr>
        <w:t>edge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" regionale, dopo quello di Bari. Seguendo il percorso di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Bari, questo secondo IXP regionale vuole ottimizzare il traffico regionale tra gli ISP locali e i fornitori di contenuti, oltre a essere un DC carrier-</w:t>
      </w:r>
      <w:proofErr w:type="spellStart"/>
      <w:r>
        <w:rPr>
          <w:rFonts w:ascii="Arial" w:eastAsia="Arial" w:hAnsi="Arial" w:cs="Arial"/>
          <w:sz w:val="22"/>
          <w:szCs w:val="22"/>
        </w:rPr>
        <w:t>neutral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per i grossisti nazionali e i carrier internazionali.</w:t>
      </w:r>
    </w:p>
    <w:p w14:paraId="4588D6AF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ha firmato nell'ottobre 2022 un accordo di cooperazione con l'Università Parthenope per l'utilizzo di uno spazio DC situato nel centro della città (Monte di Dio), vicino al POP TIM "Tupputi" e al POP locale GARR. Il primo sopralluogo dei locali è avvenuto nei primi giorni di novembre. È stato preparato il cluster dedicato al servizio di </w:t>
      </w:r>
      <w:proofErr w:type="spellStart"/>
      <w:r>
        <w:rPr>
          <w:rFonts w:ascii="Arial" w:eastAsia="Arial" w:hAnsi="Arial" w:cs="Arial"/>
          <w:sz w:val="22"/>
          <w:szCs w:val="22"/>
        </w:rPr>
        <w:t>peering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sono state richieste le risorse al RIPE NCC per allocare un servizio di </w:t>
      </w:r>
      <w:proofErr w:type="spellStart"/>
      <w:r>
        <w:rPr>
          <w:rFonts w:ascii="Arial" w:eastAsia="Arial" w:hAnsi="Arial" w:cs="Arial"/>
          <w:sz w:val="22"/>
          <w:szCs w:val="22"/>
        </w:rPr>
        <w:t>peering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aggiuntivo. A fine gennaio 2023 è stata realizzata l'installazione del cluster e il cablaggio fisico in fibra tra i vari rack a disposizione di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2DA0C99F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C63AEA2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672F3678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19498D96" w14:textId="77777777" w:rsidR="00AB1010" w:rsidRDefault="00AB10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C39D60E" w14:textId="77777777" w:rsidR="00B607D2" w:rsidRDefault="00B607D2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0EFC8D1E" w14:textId="6A04262F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Albania</w:t>
      </w:r>
    </w:p>
    <w:p w14:paraId="4DCEC752" w14:textId="77777777" w:rsidR="00B607D2" w:rsidRDefault="00B607D2">
      <w:pPr>
        <w:spacing w:line="360" w:lineRule="auto"/>
        <w:rPr>
          <w:rFonts w:ascii="Arial" w:eastAsia="Arial" w:hAnsi="Arial" w:cs="Arial"/>
          <w:b/>
        </w:rPr>
      </w:pPr>
    </w:p>
    <w:p w14:paraId="09BE73FF" w14:textId="11D5B007" w:rsidR="00AB1010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w:drawing>
          <wp:inline distT="114300" distB="114300" distL="114300" distR="114300" wp14:anchorId="5E8057B2" wp14:editId="7CB12565">
            <wp:extent cx="5579435" cy="3225800"/>
            <wp:effectExtent l="0" t="0" r="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35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74A4AC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32F49CD0" wp14:editId="6D309A9F">
            <wp:extent cx="5575935" cy="3415030"/>
            <wp:effectExtent l="0" t="0" r="0" b="0"/>
            <wp:docPr id="61" name="image6.jpg" descr="Immagine che contiene testo, Elementi grafici, grafica, Carattere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magine che contiene testo, Elementi grafici, grafica, Carattere&#10;&#10;Descrizione generata automaticament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3415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DE4CAE" w14:textId="51585C09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Sin dal 2018, </w:t>
      </w:r>
      <w:proofErr w:type="spellStart"/>
      <w:r>
        <w:rPr>
          <w:rFonts w:ascii="Arial" w:eastAsia="Arial" w:hAnsi="Arial" w:cs="Arial"/>
          <w:sz w:val="22"/>
          <w:szCs w:val="22"/>
        </w:rPr>
        <w:t>Namex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supporta ANIX, l'unico punto di interscambio neutrale in Albania. ANIX è ospitato nel Data Center di RASH, la rete accademica albanese. Nel corso del </w:t>
      </w:r>
      <w:r>
        <w:rPr>
          <w:rFonts w:ascii="Arial" w:eastAsia="Arial" w:hAnsi="Arial" w:cs="Arial"/>
          <w:sz w:val="22"/>
          <w:szCs w:val="22"/>
        </w:rPr>
        <w:lastRenderedPageBreak/>
        <w:t xml:space="preserve">2022 hanno aderito 6 ISP locali: </w:t>
      </w:r>
      <w:proofErr w:type="spellStart"/>
      <w:r>
        <w:rPr>
          <w:rFonts w:ascii="Arial" w:eastAsia="Arial" w:hAnsi="Arial" w:cs="Arial"/>
          <w:sz w:val="22"/>
          <w:szCs w:val="22"/>
        </w:rPr>
        <w:t>Pronet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Nisatel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Keminet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Diginet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IBC Telecom e </w:t>
      </w:r>
      <w:proofErr w:type="spellStart"/>
      <w:r>
        <w:rPr>
          <w:rFonts w:ascii="Arial" w:eastAsia="Arial" w:hAnsi="Arial" w:cs="Arial"/>
          <w:sz w:val="22"/>
          <w:szCs w:val="22"/>
        </w:rPr>
        <w:t>FirstCom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46305BCB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Gli ISP locali collegati sono diventati 18. Tuttavia, va notato che alcuni degli ISP che avevano dichiarato la loro adesione non si sono ancora connessi (MCN, Next-TV, </w:t>
      </w:r>
      <w:proofErr w:type="spellStart"/>
      <w:r>
        <w:rPr>
          <w:rFonts w:ascii="Arial" w:eastAsia="Arial" w:hAnsi="Arial" w:cs="Arial"/>
          <w:sz w:val="22"/>
          <w:szCs w:val="22"/>
        </w:rPr>
        <w:t>Diginet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eastAsia="Arial" w:hAnsi="Arial" w:cs="Arial"/>
          <w:sz w:val="22"/>
          <w:szCs w:val="22"/>
        </w:rPr>
        <w:t>Nisatel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). Pertanto, le reti collegate effettivamente attive sono 14. Questo aumento della presenza degli ISP è stato favorito anche dall'attivazione presso ANIX di una cache OCA di Netflix, avvenuta a fine marzo 2022. </w:t>
      </w:r>
    </w:p>
    <w:p w14:paraId="483E5782" w14:textId="77777777" w:rsidR="00AB1010" w:rsidRDefault="00000000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Nel 2022, il traffico è aumentato considerevolmente: il picco è stato di circa 3,5G nel novembre 2021, dopodiché è cresciuto fino a circa 7G nel gennaio 2022 e poi si è stabilizzato tra i 20G e i 25G, raggiungendo un picco di oltre 26G nel mese di dicembre 2022. </w:t>
      </w:r>
    </w:p>
    <w:sectPr w:rsidR="00AB101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835" w:right="1134" w:bottom="1134" w:left="1985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30DC1" w14:textId="77777777" w:rsidR="000E2608" w:rsidRDefault="000E2608">
      <w:r>
        <w:separator/>
      </w:r>
    </w:p>
  </w:endnote>
  <w:endnote w:type="continuationSeparator" w:id="0">
    <w:p w14:paraId="2D20E524" w14:textId="77777777" w:rsidR="000E2608" w:rsidRDefault="000E2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1D9B2" w14:textId="77777777" w:rsidR="00AB10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3BB96698" w14:textId="77777777" w:rsidR="00AB1010" w:rsidRDefault="00AB10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FD9FB" w14:textId="02E43A4E" w:rsidR="00AB10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B607D2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</w:p>
  <w:p w14:paraId="2FBA2B21" w14:textId="77777777" w:rsidR="00AB1010" w:rsidRDefault="00AB10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1769B" w14:textId="77777777" w:rsidR="00AB1010" w:rsidRDefault="00AB10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66E6F" w14:textId="77777777" w:rsidR="000E2608" w:rsidRDefault="000E2608">
      <w:r>
        <w:separator/>
      </w:r>
    </w:p>
  </w:footnote>
  <w:footnote w:type="continuationSeparator" w:id="0">
    <w:p w14:paraId="7544D6B4" w14:textId="77777777" w:rsidR="000E2608" w:rsidRDefault="000E2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7F21D" w14:textId="77777777" w:rsidR="00AB1010" w:rsidRDefault="00AB101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35634" w14:textId="77777777" w:rsidR="00AB10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2CCBAA9" wp14:editId="032192F4">
              <wp:simplePos x="0" y="0"/>
              <wp:positionH relativeFrom="column">
                <wp:posOffset>-800099</wp:posOffset>
              </wp:positionH>
              <wp:positionV relativeFrom="paragraph">
                <wp:posOffset>177800</wp:posOffset>
              </wp:positionV>
              <wp:extent cx="1999050" cy="479516"/>
              <wp:effectExtent l="0" t="0" r="0" b="0"/>
              <wp:wrapNone/>
              <wp:docPr id="50" name="Rettangolo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56000" y="3549767"/>
                        <a:ext cx="1980000" cy="460466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9FE7BE4" w14:textId="77777777" w:rsidR="00AB1010" w:rsidRDefault="00AB10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-800099</wp:posOffset>
              </wp:positionH>
              <wp:positionV relativeFrom="paragraph">
                <wp:posOffset>177800</wp:posOffset>
              </wp:positionV>
              <wp:extent cx="1999050" cy="479516"/>
              <wp:effectExtent b="0" l="0" r="0" t="0"/>
              <wp:wrapNone/>
              <wp:docPr id="5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9050" cy="47951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51596" w14:textId="77777777" w:rsidR="00AB101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A0F5EE7" wp14:editId="7AB8A099">
              <wp:simplePos x="0" y="0"/>
              <wp:positionH relativeFrom="column">
                <wp:posOffset>-952499</wp:posOffset>
              </wp:positionH>
              <wp:positionV relativeFrom="paragraph">
                <wp:posOffset>3606800</wp:posOffset>
              </wp:positionV>
              <wp:extent cx="487050" cy="5796572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12000" y="891239"/>
                        <a:ext cx="468000" cy="5777522"/>
                      </a:xfrm>
                      <a:prstGeom prst="rect">
                        <a:avLst/>
                      </a:prstGeom>
                      <a:blipFill rotWithShape="1">
                        <a:blip r:embed="rId1">
                          <a:alphaModFix/>
                        </a:blip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581F4E5F" w14:textId="77777777" w:rsidR="00AB1010" w:rsidRDefault="00AB10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-952499</wp:posOffset>
              </wp:positionH>
              <wp:positionV relativeFrom="paragraph">
                <wp:posOffset>3606800</wp:posOffset>
              </wp:positionV>
              <wp:extent cx="487050" cy="5796572"/>
              <wp:effectExtent b="0" l="0" r="0" t="0"/>
              <wp:wrapNone/>
              <wp:docPr id="4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050" cy="579657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7F5FA3B" wp14:editId="528D6B98">
              <wp:simplePos x="0" y="0"/>
              <wp:positionH relativeFrom="column">
                <wp:posOffset>-800099</wp:posOffset>
              </wp:positionH>
              <wp:positionV relativeFrom="paragraph">
                <wp:posOffset>127000</wp:posOffset>
              </wp:positionV>
              <wp:extent cx="1459050" cy="353850"/>
              <wp:effectExtent l="0" t="0" r="0" b="0"/>
              <wp:wrapNone/>
              <wp:docPr id="52" name="Rettangolo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26000" y="3612600"/>
                        <a:ext cx="1440000" cy="334800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 l="30330" t="31692" r="30331" b="31691"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7CB51872" w14:textId="77777777" w:rsidR="00AB1010" w:rsidRDefault="00AB10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-800099</wp:posOffset>
              </wp:positionH>
              <wp:positionV relativeFrom="paragraph">
                <wp:posOffset>127000</wp:posOffset>
              </wp:positionV>
              <wp:extent cx="1459050" cy="353850"/>
              <wp:effectExtent b="0" l="0" r="0" t="0"/>
              <wp:wrapNone/>
              <wp:docPr id="52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59050" cy="35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16658EF9" wp14:editId="512A9762">
              <wp:simplePos x="0" y="0"/>
              <wp:positionH relativeFrom="column">
                <wp:posOffset>-914399</wp:posOffset>
              </wp:positionH>
              <wp:positionV relativeFrom="paragraph">
                <wp:posOffset>177800</wp:posOffset>
              </wp:positionV>
              <wp:extent cx="2341880" cy="558800"/>
              <wp:effectExtent l="0" t="0" r="0" b="0"/>
              <wp:wrapNone/>
              <wp:docPr id="51" name="Rettangolo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84585" y="3510125"/>
                        <a:ext cx="2322830" cy="539750"/>
                      </a:xfrm>
                      <a:prstGeom prst="rect">
                        <a:avLst/>
                      </a:prstGeom>
                      <a:blipFill rotWithShape="1">
                        <a:blip r:embed="rId3">
                          <a:alphaModFix/>
                        </a:blip>
                        <a:stretch>
                          <a:fillRect l="31" r="-29"/>
                        </a:stretch>
                      </a:blipFill>
                      <a:ln>
                        <a:noFill/>
                      </a:ln>
                    </wps:spPr>
                    <wps:txbx>
                      <w:txbxContent>
                        <w:p w14:paraId="6E5A97B3" w14:textId="77777777" w:rsidR="00AB1010" w:rsidRDefault="00AB101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177800</wp:posOffset>
              </wp:positionV>
              <wp:extent cx="2341880" cy="558800"/>
              <wp:effectExtent b="0" l="0" r="0" t="0"/>
              <wp:wrapNone/>
              <wp:docPr id="51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41880" cy="558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74F6B"/>
    <w:multiLevelType w:val="multilevel"/>
    <w:tmpl w:val="1290A0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AF1C1A"/>
    <w:multiLevelType w:val="multilevel"/>
    <w:tmpl w:val="6A886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AD2930"/>
    <w:multiLevelType w:val="multilevel"/>
    <w:tmpl w:val="A4026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E68390C"/>
    <w:multiLevelType w:val="multilevel"/>
    <w:tmpl w:val="6CD47C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AF1608F"/>
    <w:multiLevelType w:val="multilevel"/>
    <w:tmpl w:val="2264D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23240AB"/>
    <w:multiLevelType w:val="multilevel"/>
    <w:tmpl w:val="434C3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3265397">
    <w:abstractNumId w:val="1"/>
  </w:num>
  <w:num w:numId="2" w16cid:durableId="715281577">
    <w:abstractNumId w:val="5"/>
  </w:num>
  <w:num w:numId="3" w16cid:durableId="1890147691">
    <w:abstractNumId w:val="4"/>
  </w:num>
  <w:num w:numId="4" w16cid:durableId="2115438619">
    <w:abstractNumId w:val="2"/>
  </w:num>
  <w:num w:numId="5" w16cid:durableId="1672027643">
    <w:abstractNumId w:val="0"/>
  </w:num>
  <w:num w:numId="6" w16cid:durableId="795105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010"/>
    <w:rsid w:val="000E2608"/>
    <w:rsid w:val="00AB1010"/>
    <w:rsid w:val="00B607D2"/>
    <w:rsid w:val="00BE3137"/>
    <w:rsid w:val="00DC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5F3E43"/>
  <w15:docId w15:val="{1D7DA774-FF55-C943-99E7-B21181C3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7A54"/>
  </w:style>
  <w:style w:type="paragraph" w:styleId="Titolo1">
    <w:name w:val="heading 1"/>
    <w:basedOn w:val="Normale"/>
    <w:next w:val="Normale"/>
    <w:link w:val="Titolo1Carattere"/>
    <w:uiPriority w:val="9"/>
    <w:qFormat/>
    <w:rsid w:val="007A7524"/>
    <w:pPr>
      <w:keepNext/>
      <w:keepLines/>
      <w:spacing w:before="240" w:line="280" w:lineRule="exact"/>
      <w:outlineLvl w:val="0"/>
    </w:pPr>
    <w:rPr>
      <w:rFonts w:asciiTheme="majorHAnsi" w:eastAsiaTheme="majorEastAsia" w:hAnsiTheme="majorHAnsi" w:cstheme="majorBidi"/>
      <w:color w:val="0098C3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chiara">
    <w:name w:val="Grid Table Light"/>
    <w:aliases w:val="Griglia tabella chiara unidata"/>
    <w:basedOn w:val="Tabellaelegante"/>
    <w:uiPriority w:val="40"/>
    <w:rsid w:val="004C2D66"/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caps/>
        <w:color w:val="auto"/>
        <w:sz w:val="22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23B7D7"/>
      </w:tcPr>
    </w:tblStylePr>
  </w:style>
  <w:style w:type="table" w:styleId="Tabellaelegante">
    <w:name w:val="Table Elegant"/>
    <w:basedOn w:val="Tabellanormale"/>
    <w:uiPriority w:val="99"/>
    <w:semiHidden/>
    <w:unhideWhenUsed/>
    <w:rsid w:val="004C2D6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olo1Carattere">
    <w:name w:val="Titolo 1 Carattere"/>
    <w:basedOn w:val="Carpredefinitoparagrafo"/>
    <w:link w:val="Titolo1"/>
    <w:uiPriority w:val="9"/>
    <w:rsid w:val="007A7524"/>
    <w:rPr>
      <w:rFonts w:asciiTheme="majorHAnsi" w:eastAsiaTheme="majorEastAsia" w:hAnsiTheme="majorHAnsi" w:cstheme="majorBidi"/>
      <w:color w:val="0098C3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C13B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13BAA"/>
  </w:style>
  <w:style w:type="paragraph" w:styleId="Pidipagina">
    <w:name w:val="footer"/>
    <w:basedOn w:val="Normale"/>
    <w:link w:val="PidipaginaCarattere"/>
    <w:uiPriority w:val="99"/>
    <w:unhideWhenUsed/>
    <w:rsid w:val="00C13B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3BAA"/>
  </w:style>
  <w:style w:type="paragraph" w:styleId="Revisione">
    <w:name w:val="Revision"/>
    <w:hidden/>
    <w:uiPriority w:val="99"/>
    <w:semiHidden/>
    <w:rsid w:val="00B43995"/>
  </w:style>
  <w:style w:type="character" w:styleId="Numeropagina">
    <w:name w:val="page number"/>
    <w:basedOn w:val="Carpredefinitoparagrafo"/>
    <w:uiPriority w:val="99"/>
    <w:semiHidden/>
    <w:unhideWhenUsed/>
    <w:rsid w:val="00E21B5A"/>
    <w:rPr>
      <w:rFonts w:ascii="Arial" w:eastAsia="Arial Unicode MS" w:hAnsi="Arial"/>
      <w:b w:val="0"/>
      <w:i w:val="0"/>
      <w:color w:val="000000" w:themeColor="text1"/>
      <w:sz w:val="18"/>
    </w:rPr>
  </w:style>
  <w:style w:type="paragraph" w:styleId="Paragrafoelenco">
    <w:name w:val="List Paragraph"/>
    <w:basedOn w:val="Normale"/>
    <w:uiPriority w:val="34"/>
    <w:qFormat/>
    <w:rsid w:val="00E96948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Didascalia">
    <w:name w:val="caption"/>
    <w:basedOn w:val="Normale"/>
    <w:next w:val="Normale"/>
    <w:uiPriority w:val="35"/>
    <w:unhideWhenUsed/>
    <w:qFormat/>
    <w:rsid w:val="001D16BB"/>
    <w:pPr>
      <w:spacing w:after="200"/>
    </w:pPr>
    <w:rPr>
      <w:i/>
      <w:iCs/>
      <w:color w:val="44546A" w:themeColor="text2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3475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34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m2022.namex.it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nam2023.namex.it/" TargetMode="External"/><Relationship Id="rId17" Type="http://schemas.openxmlformats.org/officeDocument/2006/relationships/image" Target="media/image6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nam2020.namex.it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nam2021.namex.it/" TargetMode="External"/><Relationship Id="rId22" Type="http://schemas.openxmlformats.org/officeDocument/2006/relationships/image" Target="media/image11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0.png"/><Relationship Id="rId1" Type="http://schemas.openxmlformats.org/officeDocument/2006/relationships/image" Target="media/image1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image" Target="media/image80.png"/><Relationship Id="rId1" Type="http://schemas.openxmlformats.org/officeDocument/2006/relationships/image" Target="media/image13.jpg"/><Relationship Id="rId5" Type="http://schemas.openxmlformats.org/officeDocument/2006/relationships/image" Target="media/image100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aYhjonmhqphFnbwQIBiCInI/ew==">CgMxLjAaVwoBMBJSClAIARJMCiExSzdVQUFYV0d4YlBwRi1rOE5GcWJMb09sM00taE9QNnUSCTYxNDAyMTY0NBoYNXdUNjZSVUx3N3lOOUwxUUNqdnFNQT09IgISADgAaigKFHN1Z2dlc3QuYTI0YjVmZG54dHluEhBNYXVyaXppbyBHb3JldHRpciExSGNydzFoNXhvd0RocnVyNDVQemNNaTVzZm5zczROUG8=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1519</Words>
  <Characters>8660</Characters>
  <Application>Microsoft Office Word</Application>
  <DocSecurity>0</DocSecurity>
  <Lines>72</Lines>
  <Paragraphs>20</Paragraphs>
  <ScaleCrop>false</ScaleCrop>
  <Company/>
  <LinksUpToDate>false</LinksUpToDate>
  <CharactersWithSpaces>10159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Cacace</dc:creator>
  <cp:lastModifiedBy>daniela cacace</cp:lastModifiedBy>
  <cp:revision>3</cp:revision>
  <cp:lastPrinted>2023-10-02T14:16:00Z</cp:lastPrinted>
  <dcterms:created xsi:type="dcterms:W3CDTF">2023-10-02T14:16:00Z</dcterms:created>
  <dcterms:modified xsi:type="dcterms:W3CDTF">2023-10-02T14:18:00Z</dcterms:modified>
</cp:coreProperties>
</file>